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5AB1" w14:textId="106BEBDB" w:rsidR="00697293" w:rsidRDefault="00697293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66F94631" wp14:editId="3E43E20E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63F99" w14:textId="71B1B87E" w:rsidR="00697293" w:rsidRDefault="00697293" w:rsidP="00697293">
      <w:pPr>
        <w:rPr>
          <w:rFonts w:cstheme="minorHAnsi"/>
          <w:b/>
        </w:rPr>
      </w:pPr>
      <w:bookmarkStart w:id="0" w:name="_Hlk223353206"/>
      <w:bookmarkStart w:id="1" w:name="_Hlk225166259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2.6  dla Pakietu nr 2</w:t>
      </w:r>
    </w:p>
    <w:p w14:paraId="2CB2919F" w14:textId="77777777" w:rsidR="00697293" w:rsidRDefault="00697293" w:rsidP="00697293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59894DB6" w14:textId="77777777" w:rsidR="00697293" w:rsidRPr="00F63809" w:rsidRDefault="00697293" w:rsidP="00697293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03772DDD" w14:textId="77777777" w:rsidR="00697293" w:rsidRPr="00402ABA" w:rsidRDefault="00697293" w:rsidP="00697293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bookmarkEnd w:id="1"/>
    <w:p w14:paraId="743DCD50" w14:textId="19FCF748" w:rsidR="00CA08C7" w:rsidRPr="000017F5" w:rsidRDefault="00C018E1" w:rsidP="00697293">
      <w:pPr>
        <w:jc w:val="center"/>
        <w:rPr>
          <w:rFonts w:cstheme="minorHAnsi"/>
          <w:i/>
        </w:rPr>
      </w:pPr>
      <w:r>
        <w:rPr>
          <w:rFonts w:cstheme="minorHAnsi"/>
          <w:b/>
        </w:rPr>
        <w:t>Holter ciśnieniowy</w:t>
      </w:r>
      <w:r w:rsidR="00697293">
        <w:rPr>
          <w:rFonts w:cstheme="minorHAnsi"/>
          <w:b/>
        </w:rPr>
        <w:t xml:space="preserve"> – 8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018E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018E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018E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C018E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018E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C018E1" w:rsidRPr="000017F5" w14:paraId="66A47473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726A" w14:textId="796D7AEE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Oprogramowanie w języku polskim</w:t>
            </w:r>
          </w:p>
        </w:tc>
        <w:tc>
          <w:tcPr>
            <w:tcW w:w="4242" w:type="dxa"/>
            <w:vAlign w:val="center"/>
          </w:tcPr>
          <w:p w14:paraId="552E273F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B87F45A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45C5" w14:textId="78120713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Komunikacja z rejestratorem poprzez kabel USB-C - USB</w:t>
            </w:r>
          </w:p>
        </w:tc>
        <w:tc>
          <w:tcPr>
            <w:tcW w:w="4242" w:type="dxa"/>
            <w:vAlign w:val="center"/>
          </w:tcPr>
          <w:p w14:paraId="5B9984C9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AED533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4EAC" w14:textId="66A6659A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Wbudowana baza danych pacjentów</w:t>
            </w:r>
          </w:p>
        </w:tc>
        <w:tc>
          <w:tcPr>
            <w:tcW w:w="4242" w:type="dxa"/>
            <w:vAlign w:val="center"/>
          </w:tcPr>
          <w:p w14:paraId="3404102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7F261E90" w14:textId="77777777" w:rsidTr="00982C44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F92D" w14:textId="1894AEF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Wyświetlanie w formie tabelarycznej wszystkich wykonanych pomiarów z zaznaczeniem pomiarów wykonanych na żądanie i znaczników zdarzeń pacjenta. Możliwość zaznaczenia okresu „białego fartucha”</w:t>
            </w:r>
          </w:p>
        </w:tc>
        <w:tc>
          <w:tcPr>
            <w:tcW w:w="4242" w:type="dxa"/>
            <w:vAlign w:val="center"/>
          </w:tcPr>
          <w:p w14:paraId="5A4E0BC3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CE626F2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09D5" w14:textId="1B093AC2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ręcznego wpisania komentarza do każdego pomiaru lub wybrania z listy proponowanych komentarzy</w:t>
            </w:r>
          </w:p>
        </w:tc>
        <w:tc>
          <w:tcPr>
            <w:tcW w:w="4242" w:type="dxa"/>
            <w:vAlign w:val="center"/>
          </w:tcPr>
          <w:p w14:paraId="017126B2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55B65D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B12E" w14:textId="4C1FF613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Informacja o błędnym pomiarze</w:t>
            </w:r>
          </w:p>
        </w:tc>
        <w:tc>
          <w:tcPr>
            <w:tcW w:w="4242" w:type="dxa"/>
            <w:vAlign w:val="center"/>
          </w:tcPr>
          <w:p w14:paraId="4780DAEC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FE59442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49C2" w14:textId="01300954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usuwania pomiarów z analizy</w:t>
            </w:r>
          </w:p>
        </w:tc>
        <w:tc>
          <w:tcPr>
            <w:tcW w:w="4242" w:type="dxa"/>
            <w:vAlign w:val="center"/>
          </w:tcPr>
          <w:p w14:paraId="0EB27956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C924FFB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3FE1" w14:textId="2AE28780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Prezentacja wyników pomiarów ciśnienia częstości rytmu w formie graficznej (2 typy wykresów)</w:t>
            </w:r>
          </w:p>
        </w:tc>
        <w:tc>
          <w:tcPr>
            <w:tcW w:w="4242" w:type="dxa"/>
            <w:vAlign w:val="center"/>
          </w:tcPr>
          <w:p w14:paraId="1B746D50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FA417F8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BED3" w14:textId="4F7504E1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ręcznej edycji progów ciśnienia dla wykonanego badania</w:t>
            </w:r>
          </w:p>
        </w:tc>
        <w:tc>
          <w:tcPr>
            <w:tcW w:w="4242" w:type="dxa"/>
            <w:vAlign w:val="center"/>
          </w:tcPr>
          <w:p w14:paraId="1EDD6CD0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2ACE9BB" w14:textId="77777777" w:rsidTr="00982C44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3436" w14:textId="574906BD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automatycznego ustawienia progów ciśnienia wg norm JNC7/AHA i ESH</w:t>
            </w:r>
          </w:p>
        </w:tc>
        <w:tc>
          <w:tcPr>
            <w:tcW w:w="4242" w:type="dxa"/>
            <w:vAlign w:val="center"/>
          </w:tcPr>
          <w:p w14:paraId="3386BA7C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0A96815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05E3" w14:textId="27945E7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rekonfiguracji okresów badania (zakresów czasowych) dla wykonanego badania</w:t>
            </w:r>
          </w:p>
        </w:tc>
        <w:tc>
          <w:tcPr>
            <w:tcW w:w="4242" w:type="dxa"/>
            <w:vAlign w:val="center"/>
          </w:tcPr>
          <w:p w14:paraId="003BC962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940DB87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F3" w14:textId="01F90B52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Wbudowany kalkulator progów pediatrycznych</w:t>
            </w:r>
          </w:p>
        </w:tc>
        <w:tc>
          <w:tcPr>
            <w:tcW w:w="4242" w:type="dxa"/>
            <w:vAlign w:val="center"/>
          </w:tcPr>
          <w:p w14:paraId="3D6F1336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7644571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D741" w14:textId="4A340794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Tabela referencyjna progów pediatrycznych wg Wuhl i inni (2002) oraz Soergel (1997)</w:t>
            </w:r>
          </w:p>
        </w:tc>
        <w:tc>
          <w:tcPr>
            <w:tcW w:w="4242" w:type="dxa"/>
            <w:vAlign w:val="center"/>
          </w:tcPr>
          <w:p w14:paraId="7934B658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EAEFBD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623B" w14:textId="49139AD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edycji danych pacjenta</w:t>
            </w:r>
          </w:p>
        </w:tc>
        <w:tc>
          <w:tcPr>
            <w:tcW w:w="4242" w:type="dxa"/>
            <w:vAlign w:val="center"/>
          </w:tcPr>
          <w:p w14:paraId="65E21E3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6A3FA0A" w14:textId="77777777" w:rsidTr="00982C44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1A1B" w14:textId="10285EC3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 xml:space="preserve">Możliwość wpisania (i edycji) przez lekarza wywiadu, aktualnego leczenia z podaniem </w:t>
            </w:r>
            <w:r w:rsidRPr="00F60BDB">
              <w:rPr>
                <w:rFonts w:ascii="Calibri" w:hAnsi="Calibri" w:cs="Calibri"/>
              </w:rPr>
              <w:lastRenderedPageBreak/>
              <w:t>leków, ich dawki i częstotliwości podawania, opisu</w:t>
            </w:r>
          </w:p>
        </w:tc>
        <w:tc>
          <w:tcPr>
            <w:tcW w:w="4242" w:type="dxa"/>
            <w:vAlign w:val="center"/>
          </w:tcPr>
          <w:p w14:paraId="66835014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1D07C01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FD5D" w14:textId="77C80FD7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Prezentacja wyników statystycznych badania: SYS, DIA, HR, MAP, PP, ładunek BP, spadek podczas snu. Wszystkie wyniki (z wyjątkiem spadku podczas snu) z podziałem na okresy i łącznie dla całego badania</w:t>
            </w:r>
          </w:p>
        </w:tc>
        <w:tc>
          <w:tcPr>
            <w:tcW w:w="4242" w:type="dxa"/>
            <w:vAlign w:val="center"/>
          </w:tcPr>
          <w:p w14:paraId="641DAF07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19B479F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AEFF" w14:textId="5114A35D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zdefiniowania do dwunastu okien czasowych, dla których ma być wykonana analiza statystyczna</w:t>
            </w:r>
          </w:p>
        </w:tc>
        <w:tc>
          <w:tcPr>
            <w:tcW w:w="4242" w:type="dxa"/>
            <w:vAlign w:val="center"/>
          </w:tcPr>
          <w:p w14:paraId="3549219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E5735FB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83A" w14:textId="1FCC1528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Prezentacja średnich godzinowych w formie tabelarycznej wartości: SYS, DIA, HR, MAP, PP, PRP/1000</w:t>
            </w:r>
          </w:p>
        </w:tc>
        <w:tc>
          <w:tcPr>
            <w:tcW w:w="4242" w:type="dxa"/>
            <w:vAlign w:val="center"/>
          </w:tcPr>
          <w:p w14:paraId="5BA404C1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70F3458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685C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Prezentacja średnich godzinowych w formie graficznej. </w:t>
            </w:r>
          </w:p>
          <w:p w14:paraId="5A92453F" w14:textId="0834808B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Prezentacja krzywych: SYS, DIA HR, PP, PRP/1000.</w:t>
            </w:r>
          </w:p>
        </w:tc>
        <w:tc>
          <w:tcPr>
            <w:tcW w:w="4242" w:type="dxa"/>
            <w:vAlign w:val="center"/>
          </w:tcPr>
          <w:p w14:paraId="3877629F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2648397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165B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Możliwość porównania 2 badań tego samego pacjenta w formie tabelarycznej i graficznej poprzez prezentację i nałożenie na siebie:</w:t>
            </w:r>
          </w:p>
          <w:p w14:paraId="264A944D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- tabeli ze średnimi godzinowymi obydwu badań i różnicą wartości dla SYS, DIA, HR, MAP, PP, PRP/1000</w:t>
            </w:r>
          </w:p>
          <w:p w14:paraId="16280F63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- trendów średnich godzinowych wszystkich wartości z tabeli </w:t>
            </w:r>
          </w:p>
          <w:p w14:paraId="31E628E3" w14:textId="19E31266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- trendu różnic wartości pomiędzy badaniami</w:t>
            </w:r>
          </w:p>
        </w:tc>
        <w:tc>
          <w:tcPr>
            <w:tcW w:w="4242" w:type="dxa"/>
            <w:vAlign w:val="center"/>
          </w:tcPr>
          <w:p w14:paraId="65BB6D7F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8580A50" w14:textId="77777777" w:rsidTr="00982C44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3E96" w14:textId="374586D5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Wbudowana analiza AASI</w:t>
            </w:r>
          </w:p>
        </w:tc>
        <w:tc>
          <w:tcPr>
            <w:tcW w:w="4242" w:type="dxa"/>
            <w:vAlign w:val="center"/>
          </w:tcPr>
          <w:p w14:paraId="518CF9C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6451DC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E650" w14:textId="01526091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wyboru automatycznego podsumowania badania na podstawie norm JNC7/AHA, ESH, pediatrycznej AHA, pediatryczny Soergel</w:t>
            </w:r>
          </w:p>
        </w:tc>
        <w:tc>
          <w:tcPr>
            <w:tcW w:w="4242" w:type="dxa"/>
            <w:vAlign w:val="center"/>
          </w:tcPr>
          <w:p w14:paraId="30786846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DBE2B1A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9554" w14:textId="504F3D38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konfiguracji raportu</w:t>
            </w:r>
          </w:p>
        </w:tc>
        <w:tc>
          <w:tcPr>
            <w:tcW w:w="4242" w:type="dxa"/>
            <w:vAlign w:val="center"/>
          </w:tcPr>
          <w:p w14:paraId="139A9E78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DBEDCE3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7B4" w14:textId="0AEC5D12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eksportu raportu w formie pliku PDF, API, GDT, ASCII, XML, AWP4</w:t>
            </w:r>
          </w:p>
        </w:tc>
        <w:tc>
          <w:tcPr>
            <w:tcW w:w="4242" w:type="dxa"/>
            <w:vAlign w:val="center"/>
          </w:tcPr>
          <w:p w14:paraId="54B563B4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CE9A58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C53C" w14:textId="28BB44AC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nadania nazwy eksportowanego raportu: ID pacjenta, Imię, Nazwisko, Data urodzenia, Badanie referencyjne, Data badania, Aktualny czas, Użytkownik AWP, Uwaga 1, Uwaga 2</w:t>
            </w:r>
          </w:p>
        </w:tc>
        <w:tc>
          <w:tcPr>
            <w:tcW w:w="4242" w:type="dxa"/>
            <w:vAlign w:val="center"/>
          </w:tcPr>
          <w:p w14:paraId="05DD7BF9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D06F5C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7319" w14:textId="334638C0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zdefiniowania katalogu eksportu</w:t>
            </w:r>
          </w:p>
        </w:tc>
        <w:tc>
          <w:tcPr>
            <w:tcW w:w="4242" w:type="dxa"/>
            <w:vAlign w:val="center"/>
          </w:tcPr>
          <w:p w14:paraId="5B295DF9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92606A9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55F0" w14:textId="27FBF56B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eksportu wykonanego badania do pliku ASCII, XML, GDT. Wbudowany konfigurator eksportu</w:t>
            </w:r>
          </w:p>
        </w:tc>
        <w:tc>
          <w:tcPr>
            <w:tcW w:w="4242" w:type="dxa"/>
            <w:vAlign w:val="center"/>
          </w:tcPr>
          <w:p w14:paraId="19DDB2EE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AE40C5D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F02C" w14:textId="0802D148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eksportu wybranego badania za pomocą poczty e-mail</w:t>
            </w:r>
          </w:p>
        </w:tc>
        <w:tc>
          <w:tcPr>
            <w:tcW w:w="4242" w:type="dxa"/>
            <w:vAlign w:val="center"/>
          </w:tcPr>
          <w:p w14:paraId="2CDD8FD8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91137CC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A98EF80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0586" w14:textId="6F236E9A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konfiguracji kolorystyki i typów wykresów</w:t>
            </w:r>
          </w:p>
        </w:tc>
        <w:tc>
          <w:tcPr>
            <w:tcW w:w="4242" w:type="dxa"/>
            <w:vAlign w:val="center"/>
          </w:tcPr>
          <w:p w14:paraId="38C5D88C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BE539E3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49644C8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84EC" w14:textId="3D56F3AB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testu poprawności komunikacji oprogramowania z rejestratorem</w:t>
            </w:r>
          </w:p>
        </w:tc>
        <w:tc>
          <w:tcPr>
            <w:tcW w:w="4242" w:type="dxa"/>
            <w:vAlign w:val="center"/>
          </w:tcPr>
          <w:p w14:paraId="5ACD2A86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4A5572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3EA7FD2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8AA3" w14:textId="4BCECC5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współpracy z rejestratorem wyposażonym w funkcję pomiaru ciśnienia centralnego.</w:t>
            </w:r>
          </w:p>
        </w:tc>
        <w:tc>
          <w:tcPr>
            <w:tcW w:w="4242" w:type="dxa"/>
            <w:vAlign w:val="center"/>
          </w:tcPr>
          <w:p w14:paraId="75713FB1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01CDB0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60D0B5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08B0" w14:textId="57825B61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konfiguracji wielu użytkowników z dostępem chronionym hasłem</w:t>
            </w:r>
          </w:p>
        </w:tc>
        <w:tc>
          <w:tcPr>
            <w:tcW w:w="4242" w:type="dxa"/>
            <w:vAlign w:val="center"/>
          </w:tcPr>
          <w:p w14:paraId="2DAC253A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D276402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E0B0418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C5D0" w14:textId="3EF88B67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Funkcja automatycznego wylogowania użytkownika po określonym (konfigurowalnym) okresie bezczynności</w:t>
            </w:r>
          </w:p>
        </w:tc>
        <w:tc>
          <w:tcPr>
            <w:tcW w:w="4242" w:type="dxa"/>
            <w:vAlign w:val="center"/>
          </w:tcPr>
          <w:p w14:paraId="20B9A624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F259015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3B346BA8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D815" w14:textId="6008CF3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Instrukcja użytkowania oprogramowania w języku polskim</w:t>
            </w:r>
          </w:p>
        </w:tc>
        <w:tc>
          <w:tcPr>
            <w:tcW w:w="4242" w:type="dxa"/>
            <w:vAlign w:val="center"/>
          </w:tcPr>
          <w:p w14:paraId="1EF8857B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F618E9B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F154BA6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6DD" w14:textId="4D02B19F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  <w:b/>
                <w:bCs/>
              </w:rPr>
              <w:t>Rejestrator Holtera Ciśnienia – 8 szt.</w:t>
            </w:r>
          </w:p>
        </w:tc>
        <w:tc>
          <w:tcPr>
            <w:tcW w:w="4242" w:type="dxa"/>
            <w:vAlign w:val="center"/>
          </w:tcPr>
          <w:p w14:paraId="23BC71AC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7A16472B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CA88FD9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52DE" w14:textId="7B64FA86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Rejestrator fabrycznie nowy</w:t>
            </w:r>
          </w:p>
        </w:tc>
        <w:tc>
          <w:tcPr>
            <w:tcW w:w="4242" w:type="dxa"/>
            <w:vAlign w:val="center"/>
          </w:tcPr>
          <w:p w14:paraId="69AF0316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EC9C483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3B53734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A607" w14:textId="6BEBD7BE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Pomiar ciśnienia metodą oscylometryczną ze stopniową deflacją</w:t>
            </w:r>
          </w:p>
        </w:tc>
        <w:tc>
          <w:tcPr>
            <w:tcW w:w="4242" w:type="dxa"/>
            <w:vAlign w:val="center"/>
          </w:tcPr>
          <w:p w14:paraId="7ED50FB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FC7EEB0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D84C35C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7E3B" w14:textId="51C097F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Programowanie min. 3 okresów pomiarowych z poziomu dedykowanego oprogramowania</w:t>
            </w:r>
          </w:p>
        </w:tc>
        <w:tc>
          <w:tcPr>
            <w:tcW w:w="4242" w:type="dxa"/>
            <w:vAlign w:val="center"/>
          </w:tcPr>
          <w:p w14:paraId="26C28729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B3F30F9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41C91A9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AAF4" w14:textId="6493005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Programowanie częstości pomiarów dla każdego okresu z poziomu dedykowanego oprogramowania: 5/10/15/20/30/45/60/90/120min</w:t>
            </w:r>
          </w:p>
        </w:tc>
        <w:tc>
          <w:tcPr>
            <w:tcW w:w="4242" w:type="dxa"/>
            <w:vAlign w:val="center"/>
          </w:tcPr>
          <w:p w14:paraId="1C073313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E6B76A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246AED4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C3D9" w14:textId="76814ED0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Aparat wyposażony w gniazdo USB -C do komunikacji z komputerem</w:t>
            </w:r>
          </w:p>
        </w:tc>
        <w:tc>
          <w:tcPr>
            <w:tcW w:w="4242" w:type="dxa"/>
            <w:vAlign w:val="center"/>
          </w:tcPr>
          <w:p w14:paraId="013F2497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0C17B9F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BB35DDA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4558" w14:textId="59B984C3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wykonania do 250 pomiarów</w:t>
            </w:r>
          </w:p>
        </w:tc>
        <w:tc>
          <w:tcPr>
            <w:tcW w:w="4242" w:type="dxa"/>
            <w:vAlign w:val="center"/>
          </w:tcPr>
          <w:p w14:paraId="59850FF1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30EC514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79B07240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08C7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Zakres pomiarów ciśnienia: </w:t>
            </w:r>
          </w:p>
          <w:p w14:paraId="1D888F44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- skurczowego 40÷260mmHg</w:t>
            </w:r>
          </w:p>
          <w:p w14:paraId="011C0C3F" w14:textId="1AECD66F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- rozkurczowego 25÷200mmHg</w:t>
            </w:r>
          </w:p>
        </w:tc>
        <w:tc>
          <w:tcPr>
            <w:tcW w:w="4242" w:type="dxa"/>
            <w:vAlign w:val="center"/>
          </w:tcPr>
          <w:p w14:paraId="2C0E7E44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2F7911CB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28AB7575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DBED" w14:textId="0AEB12AE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Dokładność: ±2% lub ± 3mmHg (w zależności, która wartość jest większa)</w:t>
            </w:r>
          </w:p>
        </w:tc>
        <w:tc>
          <w:tcPr>
            <w:tcW w:w="4242" w:type="dxa"/>
            <w:vAlign w:val="center"/>
          </w:tcPr>
          <w:p w14:paraId="4592E572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F8F6C8C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2AC683F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0803" w14:textId="77385315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Zakres pomiaru tętna: 40÷200bpm</w:t>
            </w:r>
          </w:p>
        </w:tc>
        <w:tc>
          <w:tcPr>
            <w:tcW w:w="4242" w:type="dxa"/>
            <w:vAlign w:val="center"/>
          </w:tcPr>
          <w:p w14:paraId="09C82DBD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3FEA666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C441C3D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20C8" w14:textId="74EBFF2F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 xml:space="preserve">W zestawie z rejestratorem (standardowo): pokrowiec i pasek biodrowy, 2 rozmiary wielorazowych mankietów (rozm.: M i L), </w:t>
            </w:r>
            <w:r w:rsidR="00C97A3B">
              <w:rPr>
                <w:rFonts w:ascii="Calibri" w:hAnsi="Calibri" w:cs="Calibri"/>
              </w:rPr>
              <w:t xml:space="preserve">kabel, </w:t>
            </w:r>
            <w:r w:rsidRPr="00F60BDB">
              <w:rPr>
                <w:rFonts w:ascii="Calibri" w:hAnsi="Calibri" w:cs="Calibri"/>
              </w:rPr>
              <w:t>baterie, instrukcja obsługi w języku polskim</w:t>
            </w:r>
          </w:p>
        </w:tc>
        <w:tc>
          <w:tcPr>
            <w:tcW w:w="4242" w:type="dxa"/>
            <w:vAlign w:val="center"/>
          </w:tcPr>
          <w:p w14:paraId="12828395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5F3BA69D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4B426488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8834" w14:textId="70BB13B6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Mankiety wyposażone w elastyczne rękawy zapobiegające zsuwaniu się z ramienia pacjenta</w:t>
            </w:r>
          </w:p>
        </w:tc>
        <w:tc>
          <w:tcPr>
            <w:tcW w:w="4242" w:type="dxa"/>
            <w:vAlign w:val="center"/>
          </w:tcPr>
          <w:p w14:paraId="1AD101B8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59FA6E1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E73CCC6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8573" w14:textId="53F01544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odłączenia balona powietrznego od części materiałowej mankietu</w:t>
            </w:r>
          </w:p>
        </w:tc>
        <w:tc>
          <w:tcPr>
            <w:tcW w:w="4242" w:type="dxa"/>
            <w:vAlign w:val="center"/>
          </w:tcPr>
          <w:p w14:paraId="4FA3451F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9D32A1A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8D1DFCE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A20D" w14:textId="3C6CBE20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 xml:space="preserve">Możliwość prania mankietu (części materiałowej) w pralce </w:t>
            </w:r>
          </w:p>
        </w:tc>
        <w:tc>
          <w:tcPr>
            <w:tcW w:w="4242" w:type="dxa"/>
            <w:vAlign w:val="center"/>
          </w:tcPr>
          <w:p w14:paraId="42EC99C0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6553752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502E8A3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69BD" w14:textId="32C6A519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Dostępność dedykowanych mankietów jednorazowych</w:t>
            </w:r>
          </w:p>
        </w:tc>
        <w:tc>
          <w:tcPr>
            <w:tcW w:w="4242" w:type="dxa"/>
            <w:vAlign w:val="center"/>
          </w:tcPr>
          <w:p w14:paraId="271C5E2A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0EEF93B2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E37F1E6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70E6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Rejestrator wyposażony w przycisk do:</w:t>
            </w:r>
          </w:p>
          <w:p w14:paraId="03CFDF9B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- ręcznego wykonania pomiaru poza zaprogramowanym harmonogramem</w:t>
            </w:r>
          </w:p>
          <w:p w14:paraId="1347C55F" w14:textId="58C1EBB0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- włączania/wyłączania urządzenia</w:t>
            </w:r>
          </w:p>
        </w:tc>
        <w:tc>
          <w:tcPr>
            <w:tcW w:w="4242" w:type="dxa"/>
            <w:vAlign w:val="center"/>
          </w:tcPr>
          <w:p w14:paraId="436B858F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63F01C85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801D7DA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84EA" w14:textId="227BA97D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 xml:space="preserve">Wbudowany wyświetlacz LCD z możliwością prezentacji wykonanego pomiaru ciśnienia, tętna, ikon dzień/noc, symbolu baterii przy </w:t>
            </w:r>
            <w:r w:rsidRPr="00F60BDB">
              <w:rPr>
                <w:rFonts w:ascii="Calibri" w:hAnsi="Calibri" w:cs="Calibri"/>
              </w:rPr>
              <w:lastRenderedPageBreak/>
              <w:t>niskim stanie naładowania baterii/akumulatora</w:t>
            </w:r>
          </w:p>
        </w:tc>
        <w:tc>
          <w:tcPr>
            <w:tcW w:w="4242" w:type="dxa"/>
            <w:vAlign w:val="center"/>
          </w:tcPr>
          <w:p w14:paraId="5671B9C2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17314137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D82FA61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0977" w14:textId="7D21DF1F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Prezentacja wartości napięcia źródła zasilania rejestratora przy jego uruchomieniu</w:t>
            </w:r>
          </w:p>
        </w:tc>
        <w:tc>
          <w:tcPr>
            <w:tcW w:w="4242" w:type="dxa"/>
            <w:vAlign w:val="center"/>
          </w:tcPr>
          <w:p w14:paraId="52941D34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11B9D4E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579F8EFB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0F46" w14:textId="1779A9BE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Zasilanie rejestratora: 2 baterie AA</w:t>
            </w:r>
          </w:p>
        </w:tc>
        <w:tc>
          <w:tcPr>
            <w:tcW w:w="4242" w:type="dxa"/>
            <w:vAlign w:val="center"/>
          </w:tcPr>
          <w:p w14:paraId="047FACFA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BEAB277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B6E92CE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7AB" w14:textId="31718CB4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Możliwość zastosowania akumulatorów</w:t>
            </w:r>
          </w:p>
        </w:tc>
        <w:tc>
          <w:tcPr>
            <w:tcW w:w="4242" w:type="dxa"/>
            <w:vAlign w:val="center"/>
          </w:tcPr>
          <w:p w14:paraId="7A8142C0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40EB12AF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05CD5CAC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D301" w14:textId="6C2FB572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Dopuszczenia i certyfikaty zgodnie z obowiązującymi przepisami</w:t>
            </w:r>
          </w:p>
        </w:tc>
        <w:tc>
          <w:tcPr>
            <w:tcW w:w="4242" w:type="dxa"/>
            <w:vAlign w:val="center"/>
          </w:tcPr>
          <w:p w14:paraId="7A73A0C1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30357631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1538A61C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D15E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Walidacja rejestratora przez: </w:t>
            </w:r>
          </w:p>
          <w:p w14:paraId="207D0633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- ESH (Europejskie Towarzystwo Nadciśnienia Tętniczego), </w:t>
            </w:r>
          </w:p>
          <w:p w14:paraId="7763A086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 xml:space="preserve">- BHS (Brytyjskie Towarzystwo Nadciśnienia Tętniczego), </w:t>
            </w:r>
          </w:p>
          <w:p w14:paraId="39492E2E" w14:textId="44123841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>- AAMI (Stowarzyszenie na rzecz Rozwoju Aparatury Medycznej)</w:t>
            </w:r>
          </w:p>
        </w:tc>
        <w:tc>
          <w:tcPr>
            <w:tcW w:w="4242" w:type="dxa"/>
            <w:vAlign w:val="center"/>
          </w:tcPr>
          <w:p w14:paraId="477D626B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018E1" w:rsidRPr="000017F5" w14:paraId="73A4A34A" w14:textId="77777777" w:rsidTr="00982C44">
        <w:trPr>
          <w:trHeight w:val="241"/>
        </w:trPr>
        <w:tc>
          <w:tcPr>
            <w:tcW w:w="650" w:type="dxa"/>
            <w:vAlign w:val="center"/>
          </w:tcPr>
          <w:p w14:paraId="3F568619" w14:textId="77777777" w:rsidR="00C018E1" w:rsidRPr="000017F5" w:rsidRDefault="00C018E1" w:rsidP="00C018E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EDF5" w14:textId="77777777" w:rsidR="00C018E1" w:rsidRPr="00F60BDB" w:rsidRDefault="00C018E1" w:rsidP="00C018E1">
            <w:pPr>
              <w:rPr>
                <w:rFonts w:ascii="Calibri" w:hAnsi="Calibri" w:cs="Calibri"/>
              </w:rPr>
            </w:pPr>
            <w:r w:rsidRPr="00F60BDB">
              <w:rPr>
                <w:rFonts w:ascii="Calibri" w:hAnsi="Calibri" w:cs="Calibri"/>
              </w:rPr>
              <w:t>Wyposażenie dodatkowe (do całego zetsawu):</w:t>
            </w:r>
            <w:r w:rsidRPr="00F60BDB">
              <w:rPr>
                <w:rFonts w:ascii="Calibri" w:hAnsi="Calibri" w:cs="Calibri"/>
              </w:rPr>
              <w:br/>
              <w:t xml:space="preserve">- </w:t>
            </w:r>
            <w:r>
              <w:rPr>
                <w:rFonts w:ascii="Calibri" w:hAnsi="Calibri" w:cs="Calibri"/>
              </w:rPr>
              <w:t>2</w:t>
            </w:r>
            <w:r w:rsidRPr="00F60BDB">
              <w:rPr>
                <w:rFonts w:ascii="Calibri" w:hAnsi="Calibri" w:cs="Calibri"/>
              </w:rPr>
              <w:t xml:space="preserve"> x mankiet wielorazowy rozm. S</w:t>
            </w:r>
          </w:p>
          <w:p w14:paraId="756348F1" w14:textId="7A298965" w:rsidR="00C018E1" w:rsidRPr="000017F5" w:rsidRDefault="00C018E1" w:rsidP="00C018E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60BDB">
              <w:rPr>
                <w:rFonts w:ascii="Calibri" w:hAnsi="Calibri" w:cs="Calibri"/>
              </w:rPr>
              <w:t xml:space="preserve">- </w:t>
            </w:r>
            <w:r>
              <w:rPr>
                <w:rFonts w:ascii="Calibri" w:hAnsi="Calibri" w:cs="Calibri"/>
              </w:rPr>
              <w:t>3</w:t>
            </w:r>
            <w:r w:rsidRPr="00F60BDB">
              <w:rPr>
                <w:rFonts w:ascii="Calibri" w:hAnsi="Calibri" w:cs="Calibri"/>
              </w:rPr>
              <w:t xml:space="preserve"> x mankiet wielorazowy rozm. XL</w:t>
            </w:r>
          </w:p>
        </w:tc>
        <w:tc>
          <w:tcPr>
            <w:tcW w:w="4242" w:type="dxa"/>
            <w:vAlign w:val="center"/>
          </w:tcPr>
          <w:p w14:paraId="7CF239E9" w14:textId="77777777" w:rsidR="00C018E1" w:rsidRPr="000017F5" w:rsidRDefault="00C018E1" w:rsidP="00C018E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F33B0EB" w14:textId="77777777" w:rsidR="00697293" w:rsidRPr="00697293" w:rsidRDefault="00697293" w:rsidP="00697293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2" w:name="_Hlk225165908"/>
    </w:p>
    <w:p w14:paraId="5614F98F" w14:textId="243F65DE" w:rsidR="00697293" w:rsidRPr="00697293" w:rsidRDefault="00697293" w:rsidP="00697293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r w:rsidRPr="00697293">
        <w:rPr>
          <w:rFonts w:ascii="Calibri" w:hAnsi="Calibri" w:cs="Calibri"/>
        </w:rPr>
        <w:t>Wykonawca bezwzględnie musi potwierdzić dokładne oferowane parametry w kolumnie PARAMETR OFEROWANY, b</w:t>
      </w:r>
      <w:r w:rsidRPr="00697293">
        <w:rPr>
          <w:rFonts w:ascii="Calibri" w:hAnsi="Calibri" w:cs="Calibr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697293">
        <w:rPr>
          <w:rFonts w:ascii="Calibri" w:hAnsi="Calibri" w:cs="Calibri"/>
        </w:rPr>
        <w:t>Niespełnienie wymaganych parametrów i warunków spowoduje odrzucenie oferty.</w:t>
      </w:r>
      <w:r w:rsidRPr="00697293">
        <w:rPr>
          <w:rFonts w:ascii="Calibri" w:eastAsia="Times New Roman" w:hAnsi="Calibri" w:cs="Calibri"/>
          <w:iCs/>
          <w:lang w:eastAsia="pl-PL"/>
        </w:rPr>
        <w:t xml:space="preserve"> </w:t>
      </w:r>
    </w:p>
    <w:p w14:paraId="7DB6C986" w14:textId="77777777" w:rsidR="00697293" w:rsidRPr="00697293" w:rsidRDefault="00697293" w:rsidP="00697293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r w:rsidRPr="00697293">
        <w:rPr>
          <w:rFonts w:ascii="Calibri" w:eastAsia="Times New Roman" w:hAnsi="Calibri" w:cs="Calibr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85E0D11" w14:textId="77777777" w:rsidR="00697293" w:rsidRPr="00697293" w:rsidRDefault="00697293" w:rsidP="00697293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r w:rsidRPr="00697293">
        <w:rPr>
          <w:rFonts w:ascii="Calibri" w:eastAsia="Times New Roman" w:hAnsi="Calibri" w:cs="Calibri"/>
          <w:iCs/>
          <w:lang w:eastAsia="pl-PL"/>
        </w:rPr>
        <w:t>Zamawiający dopuszcza rozwiązania równoważne zgodnie z opisem w dziale III Opis przedmiotu zamówienia SWZ.</w:t>
      </w:r>
    </w:p>
    <w:p w14:paraId="7B283AE3" w14:textId="77777777" w:rsidR="00697293" w:rsidRPr="00857244" w:rsidRDefault="00697293" w:rsidP="00697293">
      <w:pPr>
        <w:spacing w:line="240" w:lineRule="auto"/>
        <w:jc w:val="right"/>
        <w:rPr>
          <w:rFonts w:cstheme="minorHAnsi"/>
        </w:rPr>
      </w:pPr>
    </w:p>
    <w:p w14:paraId="5167FE04" w14:textId="77777777" w:rsidR="00697293" w:rsidRPr="00857244" w:rsidRDefault="00697293" w:rsidP="00697293">
      <w:pPr>
        <w:spacing w:line="240" w:lineRule="auto"/>
        <w:jc w:val="right"/>
        <w:rPr>
          <w:rFonts w:cstheme="minorHAnsi"/>
        </w:rPr>
      </w:pPr>
    </w:p>
    <w:p w14:paraId="1D88BA7E" w14:textId="77777777" w:rsidR="00697293" w:rsidRPr="00857244" w:rsidRDefault="00697293" w:rsidP="00697293">
      <w:pPr>
        <w:spacing w:line="240" w:lineRule="auto"/>
        <w:ind w:left="284"/>
        <w:jc w:val="right"/>
        <w:rPr>
          <w:rFonts w:cstheme="minorHAnsi"/>
        </w:rPr>
      </w:pPr>
    </w:p>
    <w:p w14:paraId="216741DA" w14:textId="77777777" w:rsidR="00697293" w:rsidRPr="00857244" w:rsidRDefault="00697293" w:rsidP="00697293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3" w:name="_Hlk223355242"/>
      <w:r w:rsidRPr="00857244">
        <w:rPr>
          <w:rFonts w:cstheme="minorHAnsi"/>
          <w:sz w:val="18"/>
          <w:szCs w:val="18"/>
        </w:rPr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3"/>
    </w:p>
    <w:bookmarkEnd w:id="2"/>
    <w:p w14:paraId="7B16CBF1" w14:textId="77777777" w:rsidR="005B4FD7" w:rsidRPr="005B4FD7" w:rsidRDefault="005B4FD7" w:rsidP="00697293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0069C"/>
    <w:rsid w:val="00221556"/>
    <w:rsid w:val="00373C44"/>
    <w:rsid w:val="003B7A3A"/>
    <w:rsid w:val="004877FC"/>
    <w:rsid w:val="0055707E"/>
    <w:rsid w:val="005B4FD7"/>
    <w:rsid w:val="00697293"/>
    <w:rsid w:val="00892A9D"/>
    <w:rsid w:val="00A16DE5"/>
    <w:rsid w:val="00A20625"/>
    <w:rsid w:val="00B6170D"/>
    <w:rsid w:val="00BB0BF6"/>
    <w:rsid w:val="00C018E1"/>
    <w:rsid w:val="00C54B1B"/>
    <w:rsid w:val="00C97A3B"/>
    <w:rsid w:val="00CA08C7"/>
    <w:rsid w:val="00CA0F66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2026-03-16T08:11:00Z</dcterms:created>
  <dcterms:modified xsi:type="dcterms:W3CDTF">2026-03-23T15:45:00Z</dcterms:modified>
</cp:coreProperties>
</file>